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31D02" w14:textId="77777777" w:rsidR="007A7BB1" w:rsidRPr="007A7BB1" w:rsidRDefault="007A7BB1" w:rsidP="007A7BB1">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7A7BB1">
        <w:rPr>
          <w:rFonts w:ascii="Lato" w:eastAsia="Times New Roman" w:hAnsi="Lato" w:cs="Times New Roman"/>
          <w:color w:val="CC3300"/>
          <w:kern w:val="36"/>
          <w:sz w:val="36"/>
          <w:szCs w:val="36"/>
          <w:lang w:eastAsia="fr-BE"/>
          <w14:ligatures w14:val="none"/>
        </w:rPr>
        <w:t>Demande, dollar et difficultés</w:t>
      </w:r>
    </w:p>
    <w:p w14:paraId="10F69FDE" w14:textId="77777777" w:rsidR="007A7BB1" w:rsidRDefault="007A7BB1" w:rsidP="007A7BB1">
      <w:pPr>
        <w:shd w:val="clear" w:color="auto" w:fill="FFFFFF"/>
        <w:spacing w:before="75" w:after="75" w:line="240" w:lineRule="auto"/>
        <w:jc w:val="both"/>
        <w:rPr>
          <w:rFonts w:ascii="Lato" w:eastAsia="Times New Roman" w:hAnsi="Lato" w:cs="Times New Roman"/>
          <w:i/>
          <w:iCs/>
          <w:color w:val="000000"/>
          <w:kern w:val="0"/>
          <w:sz w:val="23"/>
          <w:szCs w:val="23"/>
          <w:lang w:eastAsia="fr-BE"/>
          <w14:ligatures w14:val="none"/>
        </w:rPr>
      </w:pPr>
    </w:p>
    <w:p w14:paraId="7530235F" w14:textId="6D73DD1D" w:rsidR="007A7BB1" w:rsidRPr="007A7BB1" w:rsidRDefault="007A7BB1" w:rsidP="007A7BB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A7BB1">
        <w:rPr>
          <w:rFonts w:ascii="Lato" w:eastAsia="Times New Roman" w:hAnsi="Lato" w:cs="Times New Roman"/>
          <w:color w:val="000000"/>
          <w:kern w:val="0"/>
          <w:sz w:val="23"/>
          <w:szCs w:val="23"/>
          <w:lang w:eastAsia="fr-BE"/>
          <w14:ligatures w14:val="none"/>
        </w:rPr>
        <w:t>Les cours du </w:t>
      </w:r>
      <w:r w:rsidRPr="007A7BB1">
        <w:rPr>
          <w:rFonts w:ascii="Lato" w:eastAsia="Times New Roman" w:hAnsi="Lato" w:cs="Times New Roman"/>
          <w:color w:val="000000"/>
          <w:kern w:val="0"/>
          <w:sz w:val="23"/>
          <w:szCs w:val="23"/>
          <w:u w:val="single"/>
          <w:lang w:eastAsia="fr-BE"/>
          <w14:ligatures w14:val="none"/>
        </w:rPr>
        <w:t>cuivre</w:t>
      </w:r>
      <w:r w:rsidRPr="007A7BB1">
        <w:rPr>
          <w:rFonts w:ascii="Lato" w:eastAsia="Times New Roman" w:hAnsi="Lato" w:cs="Times New Roman"/>
          <w:color w:val="000000"/>
          <w:kern w:val="0"/>
          <w:sz w:val="23"/>
          <w:szCs w:val="23"/>
          <w:lang w:eastAsia="fr-BE"/>
          <w14:ligatures w14:val="none"/>
        </w:rPr>
        <w:t> stagnent autour d’un creux de deux semaines, dominés par un dollar fort et par les incertitudes qui caractérisent la reprise économique chinoise. Les investisseurs attendent également les données américaines sur l’inflation.</w:t>
      </w:r>
    </w:p>
    <w:p w14:paraId="52C9E03B" w14:textId="77777777" w:rsidR="007A7BB1" w:rsidRPr="007A7BB1" w:rsidRDefault="007A7BB1" w:rsidP="007A7BB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A7BB1">
        <w:rPr>
          <w:rFonts w:ascii="Lato" w:eastAsia="Times New Roman" w:hAnsi="Lato" w:cs="Times New Roman"/>
          <w:color w:val="000000"/>
          <w:kern w:val="0"/>
          <w:sz w:val="23"/>
          <w:szCs w:val="23"/>
          <w:lang w:eastAsia="fr-BE"/>
          <w14:ligatures w14:val="none"/>
        </w:rPr>
        <w:t>Sur le LME, le </w:t>
      </w:r>
      <w:r w:rsidRPr="007A7BB1">
        <w:rPr>
          <w:rFonts w:ascii="Lato" w:eastAsia="Times New Roman" w:hAnsi="Lato" w:cs="Times New Roman"/>
          <w:color w:val="000000"/>
          <w:kern w:val="0"/>
          <w:sz w:val="23"/>
          <w:szCs w:val="23"/>
          <w:u w:val="single"/>
          <w:lang w:eastAsia="fr-BE"/>
          <w14:ligatures w14:val="none"/>
        </w:rPr>
        <w:t>cuivre</w:t>
      </w:r>
      <w:r w:rsidRPr="007A7BB1">
        <w:rPr>
          <w:rFonts w:ascii="Lato" w:eastAsia="Times New Roman" w:hAnsi="Lato" w:cs="Times New Roman"/>
          <w:color w:val="000000"/>
          <w:kern w:val="0"/>
          <w:sz w:val="23"/>
          <w:szCs w:val="23"/>
          <w:lang w:eastAsia="fr-BE"/>
          <w14:ligatures w14:val="none"/>
        </w:rPr>
        <w:t xml:space="preserve"> pour livraison à trois mois est stable, à 8.037 $/t. Le contrat le plus échangé sur le </w:t>
      </w:r>
      <w:proofErr w:type="spellStart"/>
      <w:r w:rsidRPr="007A7BB1">
        <w:rPr>
          <w:rFonts w:ascii="Lato" w:eastAsia="Times New Roman" w:hAnsi="Lato" w:cs="Times New Roman"/>
          <w:color w:val="000000"/>
          <w:kern w:val="0"/>
          <w:sz w:val="23"/>
          <w:szCs w:val="23"/>
          <w:lang w:eastAsia="fr-BE"/>
          <w14:ligatures w14:val="none"/>
        </w:rPr>
        <w:t>ShFE</w:t>
      </w:r>
      <w:proofErr w:type="spellEnd"/>
      <w:r w:rsidRPr="007A7BB1">
        <w:rPr>
          <w:rFonts w:ascii="Lato" w:eastAsia="Times New Roman" w:hAnsi="Lato" w:cs="Times New Roman"/>
          <w:color w:val="000000"/>
          <w:kern w:val="0"/>
          <w:sz w:val="23"/>
          <w:szCs w:val="23"/>
          <w:lang w:eastAsia="fr-BE"/>
          <w14:ligatures w14:val="none"/>
        </w:rPr>
        <w:t xml:space="preserve"> (échéance décembre) a perdu 0,4 % à 66.950 yuan/t (9,175.51 $), soit son niveau le plus bas depuis le 27 octobre.</w:t>
      </w:r>
    </w:p>
    <w:p w14:paraId="25AC26DB" w14:textId="77777777" w:rsidR="007A7BB1" w:rsidRPr="007A7BB1" w:rsidRDefault="007A7BB1" w:rsidP="007A7BB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A7BB1">
        <w:rPr>
          <w:rFonts w:ascii="Lato" w:eastAsia="Times New Roman" w:hAnsi="Lato" w:cs="Times New Roman"/>
          <w:color w:val="000000"/>
          <w:kern w:val="0"/>
          <w:sz w:val="23"/>
          <w:szCs w:val="23"/>
          <w:lang w:eastAsia="fr-BE"/>
          <w14:ligatures w14:val="none"/>
        </w:rPr>
        <w:t>« </w:t>
      </w:r>
      <w:r w:rsidRPr="007A7BB1">
        <w:rPr>
          <w:rFonts w:ascii="Lato" w:eastAsia="Times New Roman" w:hAnsi="Lato" w:cs="Times New Roman"/>
          <w:i/>
          <w:iCs/>
          <w:color w:val="000000"/>
          <w:kern w:val="0"/>
          <w:sz w:val="23"/>
          <w:szCs w:val="23"/>
          <w:lang w:eastAsia="fr-BE"/>
          <w14:ligatures w14:val="none"/>
        </w:rPr>
        <w:t>La reprise économique chinoise demeure insatisfaisante et certains signes de ralentissement ont été observés aux Etats-Unis aussi. Ces signes semblent indiquer que l’on se dirige vers une tendance baissière dans le cycle économique </w:t>
      </w:r>
      <w:r w:rsidRPr="007A7BB1">
        <w:rPr>
          <w:rFonts w:ascii="Lato" w:eastAsia="Times New Roman" w:hAnsi="Lato" w:cs="Times New Roman"/>
          <w:color w:val="000000"/>
          <w:kern w:val="0"/>
          <w:sz w:val="23"/>
          <w:szCs w:val="23"/>
          <w:lang w:eastAsia="fr-BE"/>
          <w14:ligatures w14:val="none"/>
        </w:rPr>
        <w:t xml:space="preserve">», commente Kyle </w:t>
      </w:r>
      <w:proofErr w:type="spellStart"/>
      <w:r w:rsidRPr="007A7BB1">
        <w:rPr>
          <w:rFonts w:ascii="Lato" w:eastAsia="Times New Roman" w:hAnsi="Lato" w:cs="Times New Roman"/>
          <w:color w:val="000000"/>
          <w:kern w:val="0"/>
          <w:sz w:val="23"/>
          <w:szCs w:val="23"/>
          <w:lang w:eastAsia="fr-BE"/>
          <w14:ligatures w14:val="none"/>
        </w:rPr>
        <w:t>Rodda</w:t>
      </w:r>
      <w:proofErr w:type="spellEnd"/>
      <w:r w:rsidRPr="007A7BB1">
        <w:rPr>
          <w:rFonts w:ascii="Lato" w:eastAsia="Times New Roman" w:hAnsi="Lato" w:cs="Times New Roman"/>
          <w:color w:val="000000"/>
          <w:kern w:val="0"/>
          <w:sz w:val="23"/>
          <w:szCs w:val="23"/>
          <w:lang w:eastAsia="fr-BE"/>
          <w14:ligatures w14:val="none"/>
        </w:rPr>
        <w:t>, analyste des marchés financiers pour Capital.com. Selon lui, davantage de mesures de relance sont nécessaires, en Chine, pour insuffler un rebond des cours du </w:t>
      </w:r>
      <w:r w:rsidRPr="007A7BB1">
        <w:rPr>
          <w:rFonts w:ascii="Lato" w:eastAsia="Times New Roman" w:hAnsi="Lato" w:cs="Times New Roman"/>
          <w:color w:val="000000"/>
          <w:kern w:val="0"/>
          <w:sz w:val="23"/>
          <w:szCs w:val="23"/>
          <w:u w:val="single"/>
          <w:lang w:eastAsia="fr-BE"/>
          <w14:ligatures w14:val="none"/>
        </w:rPr>
        <w:t>cuivre</w:t>
      </w:r>
      <w:r w:rsidRPr="007A7BB1">
        <w:rPr>
          <w:rFonts w:ascii="Lato" w:eastAsia="Times New Roman" w:hAnsi="Lato" w:cs="Times New Roman"/>
          <w:color w:val="000000"/>
          <w:kern w:val="0"/>
          <w:sz w:val="23"/>
          <w:szCs w:val="23"/>
          <w:lang w:eastAsia="fr-BE"/>
          <w14:ligatures w14:val="none"/>
        </w:rPr>
        <w:t> et des métaux de base, à court et moyen termes.</w:t>
      </w:r>
    </w:p>
    <w:p w14:paraId="585B56DB" w14:textId="77777777" w:rsidR="007A7BB1" w:rsidRPr="007A7BB1" w:rsidRDefault="007A7BB1" w:rsidP="007A7BB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A7BB1">
        <w:rPr>
          <w:rFonts w:ascii="Lato" w:eastAsia="Times New Roman" w:hAnsi="Lato" w:cs="Times New Roman"/>
          <w:color w:val="000000"/>
          <w:kern w:val="0"/>
          <w:sz w:val="23"/>
          <w:szCs w:val="23"/>
          <w:lang w:eastAsia="fr-BE"/>
          <w14:ligatures w14:val="none"/>
        </w:rPr>
        <w:t xml:space="preserve">L’indice du dollar se maintient autour d’un pic d’une semaine, rendant les métaux libellés en dollars plus onéreux. Alors que le discours de </w:t>
      </w:r>
      <w:proofErr w:type="spellStart"/>
      <w:r w:rsidRPr="007A7BB1">
        <w:rPr>
          <w:rFonts w:ascii="Lato" w:eastAsia="Times New Roman" w:hAnsi="Lato" w:cs="Times New Roman"/>
          <w:color w:val="000000"/>
          <w:kern w:val="0"/>
          <w:sz w:val="23"/>
          <w:szCs w:val="23"/>
          <w:lang w:eastAsia="fr-BE"/>
          <w14:ligatures w14:val="none"/>
        </w:rPr>
        <w:t>Jerome</w:t>
      </w:r>
      <w:proofErr w:type="spellEnd"/>
      <w:r w:rsidRPr="007A7BB1">
        <w:rPr>
          <w:rFonts w:ascii="Lato" w:eastAsia="Times New Roman" w:hAnsi="Lato" w:cs="Times New Roman"/>
          <w:color w:val="000000"/>
          <w:kern w:val="0"/>
          <w:sz w:val="23"/>
          <w:szCs w:val="23"/>
          <w:lang w:eastAsia="fr-BE"/>
          <w14:ligatures w14:val="none"/>
        </w:rPr>
        <w:t xml:space="preserve"> Powell, la semaine dernière, laissait entendre qu’une hausse des taux était envisageable, les investisseurs attendent la parution des données américaines concernant l’inflation.</w:t>
      </w:r>
    </w:p>
    <w:p w14:paraId="4E545B71"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BB1"/>
    <w:rsid w:val="00287462"/>
    <w:rsid w:val="007A7BB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8E9ED"/>
  <w15:chartTrackingRefBased/>
  <w15:docId w15:val="{BDA94AA8-3640-4F32-9E87-6818C0A1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1104</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2023-11-13T07:32:00Z</dcterms:created>
  <dcterms:modified xsi:type="dcterms:W3CDTF">2023-11-13T07:35:00Z</dcterms:modified>
</cp:coreProperties>
</file>